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BCCA" w14:textId="77777777" w:rsidR="00797926" w:rsidRPr="00797926" w:rsidRDefault="00797926" w:rsidP="00797926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ҳуқ</w:t>
      </w:r>
      <w:proofErr w:type="gram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у</w:t>
      </w:r>
      <w:proofErr w:type="gram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масканлари</w:t>
      </w:r>
      <w:proofErr w:type="spell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тузилмаси</w:t>
      </w:r>
      <w:proofErr w:type="spellEnd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тасдиқланди</w:t>
      </w:r>
      <w:proofErr w:type="spellEnd"/>
    </w:p>
    <w:bookmarkEnd w:id="0"/>
    <w:p w14:paraId="024781C8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24.06.2022</w:t>
      </w:r>
    </w:p>
    <w:p w14:paraId="0C4A7475" w14:textId="77777777" w:rsidR="00797926" w:rsidRPr="00797926" w:rsidRDefault="00D815EA" w:rsidP="00797926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797926"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Рус </w:t>
        </w:r>
        <w:proofErr w:type="spellStart"/>
        <w:r w:rsidR="00797926"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тилида</w:t>
        </w:r>
        <w:proofErr w:type="spellEnd"/>
        <w:r w:rsidR="00797926"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97926"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ўқиш</w:t>
        </w:r>
        <w:proofErr w:type="spellEnd"/>
      </w:hyperlink>
      <w:r w:rsidR="00797926" w:rsidRPr="00797926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F6252B9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F716479" wp14:editId="2C283FD6">
            <wp:extent cx="2857500" cy="1562100"/>
            <wp:effectExtent l="0" t="0" r="0" b="0"/>
            <wp:docPr id="1" name="Рисунок 1" descr="http://static.norma.uz/images/182362_2865b6b1294e0f9297a2a143f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2362_2865b6b1294e0f9297a2a143fde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Вазирлар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Маҳкамасининг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23.06.2022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йилдаги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масканлари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фаолиятини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янада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такомиллаштириш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тўғрисида”ги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history="1">
        <w:r w:rsidRPr="007979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343</w:t>
        </w:r>
      </w:hyperlink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-сон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қарори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қабул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қилинди</w:t>
      </w:r>
      <w:proofErr w:type="spellEnd"/>
      <w:r w:rsidRPr="0079792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A0C3FBE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62F61D9F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Президентнинг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2021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26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мартдаги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797926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ПФ-6196</w:t>
        </w:r>
      </w:hyperlink>
      <w:r w:rsidRPr="00797926">
        <w:rPr>
          <w:rFonts w:eastAsia="Times New Roman" w:cs="Times New Roman"/>
          <w:sz w:val="24"/>
          <w:szCs w:val="24"/>
          <w:lang w:eastAsia="ru-RU"/>
        </w:rPr>
        <w:t xml:space="preserve">-сон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Фармони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Президентнинг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2021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йил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апрелдаги</w:t>
      </w:r>
      <w:proofErr w:type="spellEnd"/>
      <w:r w:rsidR="00D815EA">
        <w:fldChar w:fldCharType="begin"/>
      </w:r>
      <w:r w:rsidR="00D815EA">
        <w:instrText xml:space="preserve"> HYPERLINK "https://nrm.uz/contentf?doc=656878_o‘zbekiston_respublikasi_prezidentining</w:instrText>
      </w:r>
      <w:r w:rsidR="00D815EA">
        <w:instrText>_02_04_2021_y_pq-5050-son_ichki_ishlar_organlarining_jamoat_havfsizligini_taminlash_va_jinoyatchilikka_qarshi_kurashish_sohasidagi_faoliyatini_yanada_takomillashtirish_bo‘yicha_qo‘shimcha_tashkiliy_chora-tadbirlar_to‘g‘risidagi_qarori&amp;products=1_" \t "_bla</w:instrText>
      </w:r>
      <w:r w:rsidR="00D815EA">
        <w:instrText xml:space="preserve">nk" </w:instrText>
      </w:r>
      <w:r w:rsidR="00D815EA">
        <w:fldChar w:fldCharType="separate"/>
      </w:r>
      <w:r w:rsidRPr="00797926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 xml:space="preserve"> ПҚ-5050</w:t>
      </w:r>
      <w:r w:rsidR="00D815EA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797926">
        <w:rPr>
          <w:rFonts w:eastAsia="Times New Roman" w:cs="Times New Roman"/>
          <w:sz w:val="24"/>
          <w:szCs w:val="24"/>
          <w:lang w:eastAsia="ru-RU"/>
        </w:rPr>
        <w:t xml:space="preserve">-сон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қарорига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мувофиқ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ташкил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этилди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16DB4ACC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75D130CC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қишлоқларда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жамоат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тартибини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сақлаш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ҳуқуқбузарликлар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профилактикаси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жиноятчиликка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қарши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курашиш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фаолиятини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бевосита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оширадиган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шунингдек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фуқароларнинг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хавфсизлиги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осойишталигини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борасида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ички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ишлар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бошқа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ҳуқуқ-тартибот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жамоат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тузилмаларининг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кесимида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биргаликда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ишлашини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ташкил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этадиган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ички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ишлар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органларининг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энг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қуйи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бўғинидаги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таркибий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тузилмаси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ҳисобланади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754A0741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34054046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Қарор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тузилмаси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намунавий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лойиҳаси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тасдиқланди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487F9A6A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6253BE4E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қ-тартибот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ички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ишлар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органлари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таянч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пунктлари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негизида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ташкил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этилади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учун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ер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майдони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биноларни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ажратиш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қуриш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таъмирлаш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мебель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жиҳозлаш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туман (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шаҳар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ҳокимликлари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маҳаллий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маблағлари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ҳисобидан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бош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моддий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-техник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воситалар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билан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таъминлаш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- ИИВ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томонидан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бюджетдан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ташқари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маблағлар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ҳисобидан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амалга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оширилади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41B8A275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</w:p>
    <w:p w14:paraId="633D4076" w14:textId="77777777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Профилактика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катта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инспектори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Масканнинг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бевосита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раҳбари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ҳисобланади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унга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маҳаллада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жамоат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тартибини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сақлаш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ҳуқ</w:t>
      </w:r>
      <w:proofErr w:type="gramStart"/>
      <w:r w:rsidRPr="0079792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797926">
        <w:rPr>
          <w:rFonts w:eastAsia="Times New Roman" w:cs="Times New Roman"/>
          <w:sz w:val="24"/>
          <w:szCs w:val="24"/>
          <w:lang w:eastAsia="ru-RU"/>
        </w:rPr>
        <w:t>қбузарликлар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профилактикаси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кундалик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фаолиятни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самарали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ташкил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этиш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бўйича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жавобгарлик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sz w:val="24"/>
          <w:szCs w:val="24"/>
          <w:lang w:eastAsia="ru-RU"/>
        </w:rPr>
        <w:t>юклатилади</w:t>
      </w:r>
      <w:proofErr w:type="spellEnd"/>
      <w:r w:rsidRPr="00797926">
        <w:rPr>
          <w:rFonts w:eastAsia="Times New Roman" w:cs="Times New Roman"/>
          <w:sz w:val="24"/>
          <w:szCs w:val="24"/>
          <w:lang w:eastAsia="ru-RU"/>
        </w:rPr>
        <w:t>.</w:t>
      </w:r>
    </w:p>
    <w:p w14:paraId="653EA5F4" w14:textId="39F3B3EB" w:rsidR="00FE1F11" w:rsidRPr="00797926" w:rsidRDefault="00797926" w:rsidP="00FE1F11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797926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Қонун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ҳужжатлари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маълумотлари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миллий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базасида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эълон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қилинган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ва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14.06.2022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йилдан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кучга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кирди</w:t>
      </w:r>
      <w:proofErr w:type="spellEnd"/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1E3078BB" w14:textId="3E47DD88" w:rsidR="00797926" w:rsidRPr="00797926" w:rsidRDefault="00797926" w:rsidP="007979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792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EC744" w14:textId="77777777" w:rsidR="00D815EA" w:rsidRDefault="00D815EA" w:rsidP="00FC6240">
      <w:r>
        <w:separator/>
      </w:r>
    </w:p>
  </w:endnote>
  <w:endnote w:type="continuationSeparator" w:id="0">
    <w:p w14:paraId="22EC906D" w14:textId="77777777" w:rsidR="00D815EA" w:rsidRDefault="00D815EA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C2591" w14:textId="77777777" w:rsidR="00D815EA" w:rsidRDefault="00D815EA" w:rsidP="00FC6240">
      <w:r>
        <w:separator/>
      </w:r>
    </w:p>
  </w:footnote>
  <w:footnote w:type="continuationSeparator" w:id="0">
    <w:p w14:paraId="18BB2986" w14:textId="77777777" w:rsidR="00D815EA" w:rsidRDefault="00D815EA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815EA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E1F11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rm.uz/contentf?doc=655138_o&#8216;zbekiston_respublikasi_prezidentining_26_03_2021_y_pf-6196-son_jamoat_havfsizligini_taminlash_va_jinoyatchilikka_qarshi_kurashish_sohasida_ichki_ishlar_organlari_faoliyatini_sifat_jihatidan_yangi_bosqichga_ko&#8216;tarish_chora-tadbirlari_to&#8216;g&#8216;risidagi_farmoni&amp;products=1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343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norma.uz/novoe_v_zakonodatelstve/utverjdena_struktura_mahallinskih_punktov_pravoporyad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7949-9D02-4D14-BA89-DF27CBE7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7</cp:revision>
  <cp:lastPrinted>2021-04-16T06:15:00Z</cp:lastPrinted>
  <dcterms:created xsi:type="dcterms:W3CDTF">2022-05-13T10:05:00Z</dcterms:created>
  <dcterms:modified xsi:type="dcterms:W3CDTF">2022-07-07T11:42:00Z</dcterms:modified>
</cp:coreProperties>
</file>