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3" w:rsidRPr="00962405" w:rsidRDefault="00962405" w:rsidP="00D004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bookmarkStart w:id="0" w:name="_GoBack"/>
      <w:proofErr w:type="spellStart"/>
      <w:r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Biznesga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imtiyoz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proofErr w:type="gramStart"/>
      <w:r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va</w:t>
      </w:r>
      <w:proofErr w:type="spellEnd"/>
      <w:proofErr w:type="gramEnd"/>
      <w:r w:rsidR="00D004C3"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preferensiyalar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beriladi</w:t>
      </w:r>
      <w:proofErr w:type="spellEnd"/>
    </w:p>
    <w:bookmarkEnd w:id="0"/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23.08.2022</w:t>
      </w:r>
    </w:p>
    <w:p w:rsid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C60AB5" wp14:editId="2995A722">
            <wp:extent cx="2857500" cy="1905000"/>
            <wp:effectExtent l="0" t="0" r="0" b="0"/>
            <wp:docPr id="3" name="Рисунок 3" descr="http://static.norma.uz/images/183817_f2850d1c18dce60c54d5cc7d8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3817_f2850d1c18dce60c54d5cc7d8e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3" w:rsidRPr="00962405" w:rsidRDefault="00962405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Prezident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Shavkat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Mirziyoev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22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avgust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kuni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tadbirkorlar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bilan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ochiq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muloqot</w:t>
      </w:r>
      <w:proofErr w:type="spellEnd"/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7" w:tgtFrame="_blank" w:history="1">
        <w:proofErr w:type="spellStart"/>
        <w:r w:rsidRPr="009624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o‘tkazdi</w:t>
        </w:r>
        <w:proofErr w:type="spellEnd"/>
      </w:hyperlink>
      <w:r w:rsidR="00D004C3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muhit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yaxshilangani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o‘tgan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davomida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55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mingdan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ortiq</w:t>
      </w:r>
      <w:proofErr w:type="spellEnd"/>
      <w:proofErr w:type="gramStart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binolar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qurilgan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Tushumlari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dollardan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oshgan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sub’ektlari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mingtaga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ko‘payib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26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mingtaga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yetgan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Yana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nafari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tovar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aylanmasini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mlndan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dollargacha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yetkazgan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220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nafarining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tushumlari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esa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dollarga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yetgan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Eksport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korxonalar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</w:t>
      </w:r>
      <w:proofErr w:type="gramStart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,5</w:t>
      </w:r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mingta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eksport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hajmi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30%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ko‘paygan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Prezident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beshta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yo‘nalishni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ko‘rsatib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o‘tib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ko‘plab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tashabbuslarni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ilgari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surdi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Birinchi</w:t>
      </w:r>
      <w:proofErr w:type="spellEnd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yo‘nalishda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korxonalarni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toifalarga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ajratib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qo‘llab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quvvatlash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yondashuvlar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belgilandi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Xususan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aylanmasi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mlrd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so‘mgacha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korxonalar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mikro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mlrd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so‘mgacha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bo‘lgani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mlrd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so‘mgacha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bo‘lgani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o‘rta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toifasiga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Mikro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aylanmadan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olinadigan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soliqning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4%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25%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gacha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stavkalari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o‘rniga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yagona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4%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stavkasi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etiladi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aylanmasi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mlrd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so‘mdan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oshib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to‘lash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tartibiga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o‘tgan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korxonalar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davomida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foyda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solig‘ini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barobar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kam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to‘laydi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Pandemiya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keltirgan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iqtisodiy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qiyinchiliklarga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qaramay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qo‘shilgan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qiymat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solig‘i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stavkasi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12%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tushirilishi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ma’lum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qilindi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Ikkinchi</w:t>
      </w:r>
      <w:proofErr w:type="spellEnd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yo‘nalish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qulay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moliyalashtirish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tizimiga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oid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bo‘ldi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Kichik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loyihalariga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trln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so‘m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yo‘naltirilishi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belgilandi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Uchinchi</w:t>
      </w:r>
      <w:proofErr w:type="spellEnd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yo‘nalishda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tuman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shaharlarning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sharoitidan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chiqib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yondashuvlar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masalasi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ko‘rildi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Kelgusi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shart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sharoiti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tuman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shaharlar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toifaga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ajratiladi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Ularda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subsidiya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foizlari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kompensatsiya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kafillik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infratuzilmaga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ulash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tartiblar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Yerni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xususiylashtirish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summa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yer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solig‘ining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karrasi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miqdoridagi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to‘lov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Toshkent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shahri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viloyat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markazlarida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karraga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hududlarda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karraga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pasaytiriladi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To‘rtinchi</w:t>
      </w:r>
      <w:proofErr w:type="spellEnd"/>
      <w:r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yo‘nalish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tadbirkorlarning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mulk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huquqi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himoyasi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bo‘ldi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Yer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mulk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ajratish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haqidagi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qarorlarni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bekor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tergov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mol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mulkni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xatlab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qo‘yishni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sud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hal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ta’kidlab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o‘tildi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tadbirkorlarning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sudlarga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murojaat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imkoniyati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kengaytiriladi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ma’muriy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sudlarga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ariza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berishda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boji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stavkasi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barobar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kamaytiriladi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Tadbirkorlarning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idoralari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qarori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ustidan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sudga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shikoyat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kiritish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hozirgi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oydan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yilgacha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uzaytiriladi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>
        <w:rPr>
          <w:rFonts w:ascii="Times New Roman" w:eastAsia="Times New Roman" w:hAnsi="Times New Roman" w:cs="Times New Roman"/>
          <w:b/>
          <w:bCs/>
          <w:sz w:val="24"/>
          <w:szCs w:val="24"/>
        </w:rPr>
        <w:t>Beshinchi</w:t>
      </w:r>
      <w:proofErr w:type="spellEnd"/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b/>
          <w:bCs/>
          <w:sz w:val="24"/>
          <w:szCs w:val="24"/>
        </w:rPr>
        <w:t>yo‘nalishda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tadbirkorlar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faoliyatini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nazorat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qilish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ularni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javobgarlikka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tortish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masalalariga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to‘xtalib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o‘tildi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Tadbirkorlarga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nisbatan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yangi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javobgarlik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jazo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choralarini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joriy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etishga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yillik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moratoriy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e’lon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2405">
        <w:rPr>
          <w:rFonts w:ascii="Times New Roman" w:eastAsia="Times New Roman" w:hAnsi="Times New Roman" w:cs="Times New Roman"/>
          <w:sz w:val="24"/>
          <w:szCs w:val="24"/>
        </w:rPr>
        <w:t>qilindi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Kelgusi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idoraning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takrorlanuvchi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funksiyalari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bekor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qilinishi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aytildi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Prezident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turdagi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tekshiruvlar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biznes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ombudsman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muvofiqlashtirilishi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jarimalar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to‘layotgan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miqdoridan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oshmasligi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kerakligini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ta’kidladi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Umuman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endi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savdo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sohasida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ishlaydigan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tadbirkorlarni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qariyb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yildan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qiynab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keladigan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muammo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barham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topadi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savdo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qoidalarini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buzganlik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jinoiy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javobgarlik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to‘liq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bekor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qilinadi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Savdo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sanoat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palatasi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faoliyatini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takomillashtirish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zarurati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ham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ko‘rsatib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o‘tildi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Endi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vazifa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vakolatlari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kengaytiriladi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Xususan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hukumatga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ko‘rib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chiqishi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majburiy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masala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kiritish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manfaatini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ko‘zlab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Oliy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sudga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ariza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vakolatlari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Savdo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sanoat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palatasi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hukumat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bo‘ysunuvidan</w:t>
      </w:r>
      <w:proofErr w:type="spellEnd"/>
      <w:proofErr w:type="gram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to‘liq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chiqariladi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tadbirkorlar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manfaatining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chinakam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himoyachisiga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aylanadi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04C3" w:rsidRPr="00962405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ochiq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muloqotda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aytilgan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takliflarni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Prezident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huzurida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Tadbirkorlikni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qo‘llab</w:t>
      </w:r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quvvatlash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Jamoatchilik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kengashi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tuzilishi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405"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belgilandi</w:t>
      </w:r>
      <w:proofErr w:type="spellEnd"/>
      <w:r w:rsidRPr="009624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D004C3" w:rsidRPr="00962405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DE6"/>
    <w:multiLevelType w:val="multilevel"/>
    <w:tmpl w:val="306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0399"/>
    <w:multiLevelType w:val="multilevel"/>
    <w:tmpl w:val="51A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73940"/>
    <w:multiLevelType w:val="multilevel"/>
    <w:tmpl w:val="153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29AF"/>
    <w:multiLevelType w:val="multilevel"/>
    <w:tmpl w:val="AE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1480F"/>
    <w:multiLevelType w:val="multilevel"/>
    <w:tmpl w:val="5678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5AA3"/>
    <w:multiLevelType w:val="multilevel"/>
    <w:tmpl w:val="F43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3"/>
  </w:num>
  <w:num w:numId="5">
    <w:abstractNumId w:val="14"/>
  </w:num>
  <w:num w:numId="6">
    <w:abstractNumId w:val="24"/>
  </w:num>
  <w:num w:numId="7">
    <w:abstractNumId w:val="9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3"/>
  </w:num>
  <w:num w:numId="13">
    <w:abstractNumId w:val="19"/>
  </w:num>
  <w:num w:numId="14">
    <w:abstractNumId w:val="11"/>
  </w:num>
  <w:num w:numId="15">
    <w:abstractNumId w:val="23"/>
  </w:num>
  <w:num w:numId="16">
    <w:abstractNumId w:val="4"/>
  </w:num>
  <w:num w:numId="17">
    <w:abstractNumId w:val="21"/>
  </w:num>
  <w:num w:numId="18">
    <w:abstractNumId w:val="15"/>
  </w:num>
  <w:num w:numId="19">
    <w:abstractNumId w:val="22"/>
  </w:num>
  <w:num w:numId="20">
    <w:abstractNumId w:val="10"/>
  </w:num>
  <w:num w:numId="21">
    <w:abstractNumId w:val="1"/>
  </w:num>
  <w:num w:numId="22">
    <w:abstractNumId w:val="18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5EC8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40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851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04C3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4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4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esident.uz/uz/lists/view/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2021-12-23T12:11:00Z</dcterms:created>
  <dcterms:modified xsi:type="dcterms:W3CDTF">2022-08-25T10:25:00Z</dcterms:modified>
</cp:coreProperties>
</file>