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3" w:rsidRPr="00D004C3" w:rsidRDefault="00D004C3" w:rsidP="00D004C3">
      <w:pPr>
        <w:pStyle w:val="1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D004C3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>Бизнесу предоставят льготы и преференции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23.08.2022</w:t>
      </w:r>
    </w:p>
    <w:p w:rsid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80373D8" wp14:editId="5AC60DF2">
            <wp:extent cx="2857500" cy="1905000"/>
            <wp:effectExtent l="0" t="0" r="0" b="0"/>
            <wp:docPr id="4" name="Рисунок 4" descr="http://static.norma.uz/images/183817_f2850d1c18dce60c54d5cc7d8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norma.uz/images/183817_f2850d1c18dce60c54d5cc7d8e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Президент </w:t>
      </w:r>
      <w:proofErr w:type="spellStart"/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>Шавкат</w:t>
      </w:r>
      <w:proofErr w:type="spellEnd"/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>Мирзиёев</w:t>
      </w:r>
      <w:proofErr w:type="spellEnd"/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 августа </w:t>
      </w:r>
      <w:hyperlink r:id="rId7" w:tgtFrame="_blank" w:history="1">
        <w:r w:rsidRPr="00D004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провел</w:t>
        </w:r>
      </w:hyperlink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открытый диалог с предпринимателями.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В результате улучшения деловой среды за прошедший год предпринимателями построено более 55 тысяч зданий для бизнеса. Количество хозяйствующих субъектов с выручкой более $1 млн увеличилось на 5 тысяч – до 26 тысяч. Еще тысяча субъектов довели торговый оборот с $1 млн до $10 млн, а выручка 220 предприятий достигла $100 млн. Количество предприятий-экспортеров составило 7,5 тысячи, общий объем экспорта увеличился на 30%.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Президент обозначил пять основных направлений и выдвинул множество инициатив по каждому из них.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первом направлении </w:t>
      </w:r>
      <w:r w:rsidRPr="00D004C3">
        <w:rPr>
          <w:rFonts w:ascii="Times New Roman" w:eastAsia="Times New Roman" w:hAnsi="Times New Roman" w:cs="Times New Roman"/>
          <w:sz w:val="24"/>
          <w:szCs w:val="24"/>
        </w:rPr>
        <w:t>определено внедрение отдельных подходов к поддержке предприятий путем разделения их на категории.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В частности, предприятия с годовым оборотом до 1 млрд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сумов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будут относиться к категории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микробизнеса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, до 10 млрд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сумов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– к малому бизнесу, до 100 млрд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сумов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– к среднему бизнесу.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микробизнеса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будет введена единая ставка налога в размере 4% вместо действующих ставок налога с оборота в размере от 4% до 25%.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Предприятия с годовым оборотом более 1 млрд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сумов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и переходящие на общий порядок уплаты налогов будут платить в два раза меньше налога на прибыль в течение одного года.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Несмотря на экономические трудности, вызванные пандемией, объявлено о снижении ставки налога на добавленную стоимость до 12%.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Второе направление </w:t>
      </w: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– создание благоприятной системы финансирования. На проекты малого бизнеса будет выделено 20 трлн </w:t>
      </w:r>
      <w:proofErr w:type="spellStart"/>
      <w:r w:rsidRPr="00D004C3">
        <w:rPr>
          <w:rFonts w:ascii="Times New Roman" w:eastAsia="Times New Roman" w:hAnsi="Times New Roman" w:cs="Times New Roman"/>
          <w:sz w:val="24"/>
          <w:szCs w:val="24"/>
        </w:rPr>
        <w:t>сумов</w:t>
      </w:r>
      <w:proofErr w:type="spellEnd"/>
      <w:r w:rsidRPr="00D00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третьему направлению </w:t>
      </w:r>
      <w:r w:rsidRPr="00D004C3">
        <w:rPr>
          <w:rFonts w:ascii="Times New Roman" w:eastAsia="Times New Roman" w:hAnsi="Times New Roman" w:cs="Times New Roman"/>
          <w:sz w:val="24"/>
          <w:szCs w:val="24"/>
        </w:rPr>
        <w:t>рассмотрен вопрос о внедрении особых подходов для бизнеса исходя из условий районов и городов. Со следующего года все районы и города будут разделены на 5 категорий по своим условиям. В них будут определены специальные режимы налогообложения, субсидирования, компенсации процентов по кредиту, предоставления поручительства, подключения к инфраструктуре.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Установленная сумма платежа за приватизацию земли, составляющая 20-кратный размер земельного налога, будет уменьшена в 10 раз в г. Ташкенте и областных центрах, в 5 раз – в других областях.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Четвертое направление </w:t>
      </w:r>
      <w:r w:rsidRPr="00D004C3">
        <w:rPr>
          <w:rFonts w:ascii="Times New Roman" w:eastAsia="Times New Roman" w:hAnsi="Times New Roman" w:cs="Times New Roman"/>
          <w:sz w:val="24"/>
          <w:szCs w:val="24"/>
        </w:rPr>
        <w:t>касается защиты собственности предпринимателей. Подчеркнуто, что только суд может отменить решения о выделении земли и имущества, а также рассматривать вопрос об аресте имущества в ходе следствия.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Также будет расширена возможность предпринимателей обращаться в суды. В частности, при обращении в административные суды ставка госпошлины будет снижена в два раза. Срок обжалования предпринимателями решения налоговых органов в суде будет продлен с нынешнего 1 месяца до 3 лет.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0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пятому направлению </w:t>
      </w:r>
      <w:r w:rsidRPr="00D004C3">
        <w:rPr>
          <w:rFonts w:ascii="Times New Roman" w:eastAsia="Times New Roman" w:hAnsi="Times New Roman" w:cs="Times New Roman"/>
          <w:sz w:val="24"/>
          <w:szCs w:val="24"/>
        </w:rPr>
        <w:t>обсуждены вопросы контроля за деятельностью предпринимателей и привлечения их к ответственности.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Будет объявлен мораторий сроком на три года на введение новых видов ответственности и мер наказания в отношении предпринимателей. Со следующего года дублирующие контрольные функции 26 ведомств будут отменены.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Президент подчеркнул, что все виды проверок должны согласовываться с бизнес-омбудсменом, а сумма штрафов не должна превышать сумму налога, уплаченного предпринимателем.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В целом теперь будет устранена проблема, которая почти 30 лет беспокоила предпринимателей, работающих в сфере торговли, – то есть полностью отменяется уголовная ответственность за нарушение правил торговли.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Было указано на необходимость совершенствования деятельности Торгово-промышленной палаты. Ее задачи и полномочия будут расширены. В частности, предоставлено право </w:t>
      </w:r>
      <w:proofErr w:type="gramStart"/>
      <w:r w:rsidRPr="00D004C3">
        <w:rPr>
          <w:rFonts w:ascii="Times New Roman" w:eastAsia="Times New Roman" w:hAnsi="Times New Roman" w:cs="Times New Roman"/>
          <w:sz w:val="24"/>
          <w:szCs w:val="24"/>
        </w:rPr>
        <w:t>вносить</w:t>
      </w:r>
      <w:proofErr w:type="gramEnd"/>
      <w:r w:rsidRPr="00D004C3">
        <w:rPr>
          <w:rFonts w:ascii="Times New Roman" w:eastAsia="Times New Roman" w:hAnsi="Times New Roman" w:cs="Times New Roman"/>
          <w:sz w:val="24"/>
          <w:szCs w:val="24"/>
        </w:rPr>
        <w:t xml:space="preserve"> в правительство  обязательные для рассмотрения вопросы, подавать иски в Верховный суд в интересах предпринимателей. ТПП будет полностью выведена из подчинения правительства и станет независимым защитником интересов предпринимателей.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4C3" w:rsidRPr="00D004C3" w:rsidRDefault="00D004C3" w:rsidP="00D00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4C3">
        <w:rPr>
          <w:rFonts w:ascii="Times New Roman" w:eastAsia="Times New Roman" w:hAnsi="Times New Roman" w:cs="Times New Roman"/>
          <w:sz w:val="24"/>
          <w:szCs w:val="24"/>
        </w:rPr>
        <w:t>Для реализации всех предложений, прозвучавших в ходе открытого диалога, поручено образовать Общественный совет по поддержке предпринимательства при Президенте.</w:t>
      </w:r>
      <w:bookmarkStart w:id="0" w:name="_GoBack"/>
      <w:bookmarkEnd w:id="0"/>
      <w:r w:rsidRPr="00D004C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76C" w:rsidRPr="00D004C3" w:rsidRDefault="002B376C" w:rsidP="00D004C3"/>
    <w:sectPr w:rsidR="002B376C" w:rsidRPr="00D004C3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DE6"/>
    <w:multiLevelType w:val="multilevel"/>
    <w:tmpl w:val="306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0399"/>
    <w:multiLevelType w:val="multilevel"/>
    <w:tmpl w:val="51A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73940"/>
    <w:multiLevelType w:val="multilevel"/>
    <w:tmpl w:val="153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29AF"/>
    <w:multiLevelType w:val="multilevel"/>
    <w:tmpl w:val="AE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1480F"/>
    <w:multiLevelType w:val="multilevel"/>
    <w:tmpl w:val="5678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5AA3"/>
    <w:multiLevelType w:val="multilevel"/>
    <w:tmpl w:val="F43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3"/>
  </w:num>
  <w:num w:numId="5">
    <w:abstractNumId w:val="14"/>
  </w:num>
  <w:num w:numId="6">
    <w:abstractNumId w:val="24"/>
  </w:num>
  <w:num w:numId="7">
    <w:abstractNumId w:val="9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3"/>
  </w:num>
  <w:num w:numId="13">
    <w:abstractNumId w:val="19"/>
  </w:num>
  <w:num w:numId="14">
    <w:abstractNumId w:val="11"/>
  </w:num>
  <w:num w:numId="15">
    <w:abstractNumId w:val="23"/>
  </w:num>
  <w:num w:numId="16">
    <w:abstractNumId w:val="4"/>
  </w:num>
  <w:num w:numId="17">
    <w:abstractNumId w:val="21"/>
  </w:num>
  <w:num w:numId="18">
    <w:abstractNumId w:val="15"/>
  </w:num>
  <w:num w:numId="19">
    <w:abstractNumId w:val="22"/>
  </w:num>
  <w:num w:numId="20">
    <w:abstractNumId w:val="10"/>
  </w:num>
  <w:num w:numId="21">
    <w:abstractNumId w:val="1"/>
  </w:num>
  <w:num w:numId="22">
    <w:abstractNumId w:val="18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5EC8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CB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851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04C3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3F3D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C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C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esident.uz/ru/lists/view/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2022-08-25T10:24:00Z</dcterms:created>
  <dcterms:modified xsi:type="dcterms:W3CDTF">2022-08-25T10:24:00Z</dcterms:modified>
</cp:coreProperties>
</file>