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D4" w:rsidRPr="00FB228F" w:rsidRDefault="00CB36E0" w:rsidP="009340D4">
      <w:pPr>
        <w:pStyle w:val="1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</w:pPr>
      <w:r w:rsidRPr="00FB228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="00FB228F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Aydar</w:t>
      </w:r>
      <w:r w:rsidR="009340D4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-</w:t>
      </w:r>
      <w:r w:rsidR="00FB228F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Arnasoy</w:t>
      </w:r>
      <w:proofErr w:type="spellEnd"/>
      <w:r w:rsidR="009340D4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="00FB228F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ko‘llar</w:t>
      </w:r>
      <w:proofErr w:type="spellEnd"/>
      <w:proofErr w:type="gramEnd"/>
      <w:r w:rsidR="009340D4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 xml:space="preserve"> </w:t>
      </w:r>
      <w:proofErr w:type="spellStart"/>
      <w:r w:rsidR="00FB228F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tizimi</w:t>
      </w:r>
      <w:proofErr w:type="spellEnd"/>
      <w:r w:rsidR="009340D4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 xml:space="preserve"> </w:t>
      </w:r>
      <w:proofErr w:type="spellStart"/>
      <w:r w:rsidR="00FB228F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boshqaruvi</w:t>
      </w:r>
      <w:proofErr w:type="spellEnd"/>
      <w:r w:rsidR="009340D4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 xml:space="preserve"> </w:t>
      </w:r>
      <w:proofErr w:type="spellStart"/>
      <w:r w:rsidR="00FB228F" w:rsidRPr="00FB228F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US"/>
        </w:rPr>
        <w:t>takomillashtirilmoqda</w:t>
      </w:r>
      <w:proofErr w:type="spellEnd"/>
    </w:p>
    <w:p w:rsidR="009340D4" w:rsidRPr="00FB228F" w:rsidRDefault="009340D4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228F">
        <w:rPr>
          <w:rFonts w:ascii="Arial" w:eastAsia="Times New Roman" w:hAnsi="Arial" w:cs="Arial"/>
          <w:sz w:val="24"/>
          <w:szCs w:val="24"/>
        </w:rPr>
        <w:t>25.02.2022</w:t>
      </w:r>
    </w:p>
    <w:p w:rsidR="009340D4" w:rsidRPr="00FB228F" w:rsidRDefault="009340D4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228F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6590B65A" wp14:editId="7BB0828B">
            <wp:extent cx="2857500" cy="1609725"/>
            <wp:effectExtent l="0" t="0" r="0" b="9525"/>
            <wp:docPr id="2" name="Рисунок 2" descr="http://static.norma.uz/images/179173_1d58cff48fa605a466e39665c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79173_1d58cff48fa605a466e39665c7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D4" w:rsidRPr="00FB228F" w:rsidRDefault="00FB228F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Prezidentning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22.02.2022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yildagi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“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Aydar</w:t>
      </w:r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tizimi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boshqaruvini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takomillashtirish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chora</w:t>
      </w:r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tadbirlari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to‘g‘risida</w:t>
      </w:r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>”</w:t>
      </w:r>
      <w:r>
        <w:rPr>
          <w:rFonts w:ascii="Arial" w:eastAsia="Times New Roman" w:hAnsi="Arial" w:cs="Arial"/>
          <w:b/>
          <w:bCs/>
          <w:sz w:val="24"/>
          <w:szCs w:val="24"/>
        </w:rPr>
        <w:t>gi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7" w:tgtFrame="_blank" w:history="1">
        <w:r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PQ</w:t>
        </w:r>
        <w:r w:rsidR="009340D4" w:rsidRPr="00FB228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-141</w:t>
        </w:r>
      </w:hyperlink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son</w:t>
      </w:r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qarori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qabul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qilindi</w:t>
      </w:r>
      <w:proofErr w:type="spellEnd"/>
      <w:r w:rsidR="009340D4" w:rsidRPr="00FB228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40D4" w:rsidRPr="00FB228F" w:rsidRDefault="009340D4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228F">
        <w:rPr>
          <w:rFonts w:ascii="Arial" w:eastAsia="Times New Roman" w:hAnsi="Arial" w:cs="Arial"/>
          <w:sz w:val="24"/>
          <w:szCs w:val="24"/>
        </w:rPr>
        <w:t> </w:t>
      </w:r>
    </w:p>
    <w:p w:rsidR="009340D4" w:rsidRPr="00FB228F" w:rsidRDefault="00FB228F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DSQ</w:t>
      </w:r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huzuridagi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</w:rPr>
        <w:t>Aydar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direksiyasi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</w:rPr>
        <w:t>davlat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unitar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korxonasi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xo‘jaligi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vazirligi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muassisligidagi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</w:rPr>
        <w:t>Aydar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</w:rPr>
        <w:t>MChJ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sifatida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qayta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tashkil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etiladi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.</w:t>
      </w:r>
    </w:p>
    <w:p w:rsidR="009340D4" w:rsidRPr="00FB228F" w:rsidRDefault="009340D4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228F">
        <w:rPr>
          <w:rFonts w:ascii="Arial" w:eastAsia="Times New Roman" w:hAnsi="Arial" w:cs="Arial"/>
          <w:sz w:val="24"/>
          <w:szCs w:val="24"/>
        </w:rPr>
        <w:t> </w:t>
      </w:r>
    </w:p>
    <w:p w:rsidR="009340D4" w:rsidRPr="00FB228F" w:rsidRDefault="00FB228F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Quyidagilar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</w:rPr>
        <w:t>Aydar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</w:rPr>
        <w:t>MChJning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asosiy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vazifalari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faoliyat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yo‘nalishlari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hisoblanadi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:</w:t>
      </w:r>
    </w:p>
    <w:p w:rsidR="009340D4" w:rsidRPr="00FB228F" w:rsidRDefault="00FB228F" w:rsidP="00934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ovlash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hajmlarini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ko‘paytirish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eksportbop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raqobatbardosh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mahsulotlari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yetishtirish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bo‘yicha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texnologik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jarayonlarni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bosqichma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bosqich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shakllantirish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;</w:t>
      </w:r>
    </w:p>
    <w:p w:rsidR="009340D4" w:rsidRPr="00FB228F" w:rsidRDefault="00FB228F" w:rsidP="00934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intensiv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yetishtirishning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zamonaviy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texnologiyalarini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shu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jumladan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qafas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usulini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joriy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hamda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tabiiy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havzalarida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mahsuldorlikni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ko‘paytirish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hisobiga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ovlash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hajmlarini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oshirish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;</w:t>
      </w:r>
    </w:p>
    <w:p w:rsidR="009340D4" w:rsidRPr="00FB228F" w:rsidRDefault="00FB228F" w:rsidP="00934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hududida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zamonaviy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turizm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infratuzilmasi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ob’ektlarini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</w:rPr>
        <w:t>plyaj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suvda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dam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olish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turizmi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qirg‘og‘i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bo‘ylab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sayr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qilish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yo‘laklari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mehmonxona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majmualari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sog‘lomlashtirish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savdo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ko‘ngilochar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turistik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ahamiyatga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boshqa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ob’ektlar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sz w:val="24"/>
          <w:szCs w:val="24"/>
        </w:rPr>
        <w:t>barpo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hamda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turistlarga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xizmat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ko‘rsatish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uchun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zarur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shart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sharoitlar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yaratish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shuningdek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havaskorlik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sport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ovini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rivojlantirish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9340D4" w:rsidRPr="00FB228F" w:rsidRDefault="00FB228F" w:rsidP="00934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hududda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energiyaning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muqobil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qayta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tiklanuvchi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manbalarini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qo‘llagan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holda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yangi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zamonaviy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energiya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tejovchi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texnologiyalarni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joriy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qilish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;</w:t>
      </w:r>
    </w:p>
    <w:p w:rsidR="009340D4" w:rsidRPr="00FB228F" w:rsidRDefault="00FB228F" w:rsidP="00934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doimiy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ravishda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Aydar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hududida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obodonlashtirish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ko‘kalamzorlashtirish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tubini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chiqindilardan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tozalash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ishlarini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amalga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oshirish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.</w:t>
      </w:r>
    </w:p>
    <w:p w:rsidR="009340D4" w:rsidRPr="00FB228F" w:rsidRDefault="009340D4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228F">
        <w:rPr>
          <w:rFonts w:ascii="Arial" w:eastAsia="Times New Roman" w:hAnsi="Arial" w:cs="Arial"/>
          <w:sz w:val="24"/>
          <w:szCs w:val="24"/>
        </w:rPr>
        <w:t> </w:t>
      </w:r>
    </w:p>
    <w:p w:rsidR="009340D4" w:rsidRPr="00FB228F" w:rsidRDefault="00FB228F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Aydar</w:t>
      </w:r>
      <w:r w:rsidR="009340D4" w:rsidRPr="00FB228F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</w:rPr>
        <w:t>suv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ombori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hududida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ovlashga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bir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yil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muddatga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moratoriy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e’lon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qilinadi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bunda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</w:rPr>
        <w:t>:</w:t>
      </w:r>
    </w:p>
    <w:p w:rsidR="009340D4" w:rsidRPr="00FB228F" w:rsidRDefault="00FB228F" w:rsidP="009340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suv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ombori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hududida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ovlash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qat’iyan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taqiqlanadi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suvdan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to‘rlar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qilish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qurollari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yig‘ib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olinadi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FB228F">
        <w:rPr>
          <w:rFonts w:ascii="Arial" w:eastAsia="Times New Roman" w:hAnsi="Arial" w:cs="Arial"/>
          <w:sz w:val="24"/>
          <w:szCs w:val="24"/>
          <w:lang w:val="en-US"/>
        </w:rPr>
        <w:t>suv</w:t>
      </w:r>
      <w:proofErr w:type="spellEnd"/>
      <w:proofErr w:type="gram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omborini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baliqlantirish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maqsadida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ilmiy</w:t>
      </w:r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FB228F">
        <w:rPr>
          <w:rFonts w:ascii="Arial" w:eastAsia="Times New Roman" w:hAnsi="Arial" w:cs="Arial"/>
          <w:sz w:val="24"/>
          <w:szCs w:val="24"/>
          <w:lang w:val="en-US"/>
        </w:rPr>
        <w:t>asoslangan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o‘rganishlar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amalga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oshiriladi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9340D4" w:rsidRPr="00FB228F" w:rsidRDefault="009340D4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B228F">
        <w:rPr>
          <w:rFonts w:ascii="Arial" w:eastAsia="Times New Roman" w:hAnsi="Arial" w:cs="Arial"/>
          <w:sz w:val="24"/>
          <w:szCs w:val="24"/>
          <w:lang w:val="en-US"/>
        </w:rPr>
        <w:lastRenderedPageBreak/>
        <w:t> </w:t>
      </w:r>
    </w:p>
    <w:p w:rsidR="009340D4" w:rsidRPr="00FB228F" w:rsidRDefault="00FB228F" w:rsidP="009340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Moliya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vazirligiga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Davlat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aktivlarini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boshqarish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agentligi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Monopoliyaga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qarshi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kurashish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qo‘mitasi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, «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O‘zbekbaliqsanoat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uyushmasi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hamda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Suv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xo‘jaligi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vazirligi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bilan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birgalikda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to‘rt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muddatda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Aydar</w:t>
      </w:r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FB228F">
        <w:rPr>
          <w:rFonts w:ascii="Arial" w:eastAsia="Times New Roman" w:hAnsi="Arial" w:cs="Arial"/>
          <w:sz w:val="24"/>
          <w:szCs w:val="24"/>
          <w:lang w:val="en-US"/>
        </w:rPr>
        <w:t>Arnasoy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MChJni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belgilangan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tartibda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investitsiya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kiritish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sharti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bilan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tanlov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asosida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noyob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turdagi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baliqlarni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yetishtirish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suv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havzalarini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baliqlantirish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qayta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ishlash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texnologiyasi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tajribasiga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ega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mahalliy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investorga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ishonchli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boshqaruvga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berish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topshirildi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bunda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Investorga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2022-2026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yillar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davomida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quyidagilarni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amalga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oshirish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talabi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yuklatiladi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kamida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30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mln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AQSh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dollari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miqdorida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investitsiya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kiritish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tizimidan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yillik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ovlash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hajmlarini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15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tonnagacha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yetkazish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hamda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okeanik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qafas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sadok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moslamalarini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o‘rnatish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orqali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qo‘shimcha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5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tonna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yetishtirish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tizimining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Tuzkon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hududida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ishlab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chiqarish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kompleksi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tashkil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etish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ushbu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kompleksda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yiliga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3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tonna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qayta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ishlash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korxonasini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ishga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tushirish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hududdagi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turizm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salohiyatini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oshirib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uning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imkoniyatlaridan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samarali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foydalangan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holda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havaskor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B228F">
        <w:rPr>
          <w:rFonts w:ascii="Arial" w:eastAsia="Times New Roman" w:hAnsi="Arial" w:cs="Arial"/>
          <w:sz w:val="24"/>
          <w:szCs w:val="24"/>
          <w:lang w:val="en-US"/>
        </w:rPr>
        <w:t>sport</w:t>
      </w:r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ovi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turizmini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kengaytirish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sayyohlarga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xizmat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ko‘rsatish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hajmini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oshirish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tizimining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biologik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xilma</w:t>
      </w:r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FB228F">
        <w:rPr>
          <w:rFonts w:ascii="Arial" w:eastAsia="Times New Roman" w:hAnsi="Arial" w:cs="Arial"/>
          <w:sz w:val="24"/>
          <w:szCs w:val="24"/>
          <w:lang w:val="en-US"/>
        </w:rPr>
        <w:t>xilligini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saqlash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zaxiralarini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ilmiy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yondashgan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holda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ko‘paytirish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xorijiy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mutaxassislarni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jalb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qilgan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holda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ko‘llar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tizimida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sho‘r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suvda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baliq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zaxiralarini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ko‘paytirish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bo‘yicha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laboratoriya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markazini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tashkil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etish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9340D4" w:rsidRPr="00FB228F" w:rsidRDefault="00FB228F" w:rsidP="009340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ko‘llar</w:t>
      </w:r>
      <w:proofErr w:type="spellEnd"/>
      <w:proofErr w:type="gram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tizimi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hududidagi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kollektor</w:t>
      </w:r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FB228F">
        <w:rPr>
          <w:rFonts w:ascii="Arial" w:eastAsia="Times New Roman" w:hAnsi="Arial" w:cs="Arial"/>
          <w:sz w:val="24"/>
          <w:szCs w:val="24"/>
          <w:lang w:val="en-US"/>
        </w:rPr>
        <w:t>drenaj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tarmoqlarini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to‘liq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B228F">
        <w:rPr>
          <w:rFonts w:ascii="Arial" w:eastAsia="Times New Roman" w:hAnsi="Arial" w:cs="Arial"/>
          <w:sz w:val="24"/>
          <w:szCs w:val="24"/>
          <w:lang w:val="en-US"/>
        </w:rPr>
        <w:t>tozalash</w:t>
      </w:r>
      <w:proofErr w:type="spellEnd"/>
      <w:r w:rsidR="009340D4" w:rsidRPr="00FB228F">
        <w:rPr>
          <w:rFonts w:ascii="Arial" w:eastAsia="Times New Roman" w:hAnsi="Arial" w:cs="Arial"/>
          <w:sz w:val="24"/>
          <w:szCs w:val="24"/>
          <w:lang w:val="en-US"/>
        </w:rPr>
        <w:t>.</w:t>
      </w:r>
      <w:bookmarkStart w:id="0" w:name="_GoBack"/>
      <w:bookmarkEnd w:id="0"/>
    </w:p>
    <w:sectPr w:rsidR="009340D4" w:rsidRPr="00FB228F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28F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2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rm.uz/contentf?doc=685695_o&#8216;zbekiston_respublikasi_prezidentining_22_02_2022_y_pq-141-son_aydar-arnasoy_ko&#8216;llar_tizimi_boshqaruvini_takomillashtirish_chora-tadbirlari_to&#8216;g&#8216;risidagi_qarori&amp;products=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2021-12-23T12:11:00Z</dcterms:created>
  <dcterms:modified xsi:type="dcterms:W3CDTF">2022-05-19T11:01:00Z</dcterms:modified>
</cp:coreProperties>
</file>